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  <w:t>Filologia hiszpańska, stopień 1, studia stacjonarne, rok 202</w:t>
      </w:r>
      <w:r>
        <w:rPr>
          <w:rFonts w:cs="Arial" w:ascii="Arial" w:hAnsi="Arial"/>
          <w:i/>
          <w:iCs/>
          <w:sz w:val="22"/>
          <w:szCs w:val="22"/>
        </w:rPr>
        <w:t>4</w:t>
      </w:r>
      <w:r>
        <w:rPr>
          <w:rFonts w:cs="Arial" w:ascii="Arial" w:hAnsi="Arial"/>
          <w:i/>
          <w:iCs/>
          <w:sz w:val="22"/>
          <w:szCs w:val="22"/>
        </w:rPr>
        <w:t>/202</w:t>
      </w:r>
      <w:r>
        <w:rPr>
          <w:rFonts w:cs="Arial" w:ascii="Arial" w:hAnsi="Arial"/>
          <w:i/>
          <w:iCs/>
          <w:sz w:val="22"/>
          <w:szCs w:val="22"/>
        </w:rPr>
        <w:t>5</w:t>
      </w:r>
      <w:r>
        <w:rPr>
          <w:rFonts w:cs="Arial" w:ascii="Arial" w:hAnsi="Arial"/>
          <w:i/>
          <w:iCs/>
          <w:sz w:val="22"/>
          <w:szCs w:val="22"/>
        </w:rPr>
        <w:t>, semestr 3</w:t>
      </w:r>
    </w:p>
    <w:p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Heading1"/>
        <w:rPr>
          <w:rFonts w:ascii="Arial" w:hAnsi="Arial" w:cs="Arial"/>
          <w:sz w:val="22"/>
        </w:rPr>
      </w:pPr>
      <w:r>
        <w:rPr>
          <w:rFonts w:cs="Arial" w:ascii="Arial" w:hAnsi="Arial"/>
          <w:b/>
          <w:bCs/>
          <w:sz w:val="24"/>
        </w:rPr>
        <w:t>KARTA KURSU</w:t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81"/>
        <w:gridCol w:w="7658"/>
      </w:tblGrid>
      <w:tr>
        <w:trPr>
          <w:trHeight w:val="395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Język angielski </w:t>
            </w: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B2-3s</w:t>
            </w:r>
          </w:p>
        </w:tc>
      </w:tr>
      <w:tr>
        <w:trPr>
          <w:trHeight w:val="379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English </w:t>
            </w: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B2-3s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186"/>
        <w:gridCol w:w="3189"/>
        <w:gridCol w:w="3265"/>
      </w:tblGrid>
      <w:tr>
        <w:trPr>
          <w:cantSplit w:val="true"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mgr Urszula Adamek</w:t>
            </w:r>
          </w:p>
        </w:tc>
        <w:tc>
          <w:tcPr>
            <w:tcW w:w="3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Zespół dydaktyczny</w:t>
            </w:r>
          </w:p>
        </w:tc>
      </w:tr>
      <w:tr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89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6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Zespół języka angielskiego</w:t>
            </w:r>
          </w:p>
        </w:tc>
      </w:tr>
      <w:tr>
        <w:trPr>
          <w:trHeight w:val="57" w:hRule="atLeast"/>
          <w:cantSplit w:val="true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89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65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3265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Opis kursu (cele kształcenia)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40"/>
      </w:tblGrid>
      <w:tr>
        <w:trPr>
          <w:trHeight w:val="1365" w:hRule="atLeast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Rozumienie dłuższych wypowiedzi, dyskusji i wykładów. Rozumienie szczegółowych informacji w programach radiowych i telewizyjnych dotyczących wydarzeń współczesnych lub tematów związanych z zainteresowaniami osobistymi lub zawodowymi (materiały w wersji oryginalnej). Przygotowanie do samodzielnego korzystania z angielskojęzycznych źródeł w tym stron internetowych.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Zwrócenie szczególnej uwagi na umiejętność swobodnej ustnej i pisemnej wypowiedzi w języku angielskim w codziennej komunikacji, a także umiejętność uzasadnienia własnego punktu widzenia w danej kwestii oraz podawania argumentów za i przeciw względem możliwych rozwiązań. Rozbudowanie zasobu słownictwa i doskonalenie go poprzez ćwiczenie wymowy oraz zwrócenie uwagi na frazeologię. Zaprezentowanie najważniejszych aspektów związanych z korzystaniem z jednojęzycznych słowników.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Dostarczenie wiedzy związanej z elementami języka specjalistycznego z zakresu kierunku kształcenia. Przygotowanie absolwentów do samodzielnego poszerzania wiedzy związanej z wykorzystaniem języka obcego w życiu zawodowym.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Warunki wstępne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550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Wiedza nabyta w trakcie kursu B2-2s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</w:tc>
      </w:tr>
      <w:tr>
        <w:trPr>
          <w:trHeight w:val="577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Umiejętności nabyte w trakcie kursu B2-2s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</w:tc>
      </w:tr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Kurs B2-2s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Efekty uczenia się</w:t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79"/>
        <w:gridCol w:w="5296"/>
        <w:gridCol w:w="2365"/>
      </w:tblGrid>
      <w:tr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 xml:space="preserve">W01 Student zna struktury gramatyczne charakterystyczne dla omawianych treści. 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 xml:space="preserve">W02 Student zna struktury leksykalne charakterystyczne dla omawianych treści. 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W03 Student posiada podstawową wiedzę z zakresu języka specjalistycznego.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K1_W07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81"/>
        <w:gridCol w:w="5249"/>
        <w:gridCol w:w="2410"/>
      </w:tblGrid>
      <w:tr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Efekt </w:t>
            </w:r>
            <w:r>
              <w:rPr>
                <w:rFonts w:eastAsia="Arial" w:cs="Arial" w:ascii="Arial" w:hAnsi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cs="Arial"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2116" w:hRule="atLeast"/>
          <w:cantSplit w:val="true"/>
        </w:trPr>
        <w:tc>
          <w:tcPr>
            <w:tcW w:w="1981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FF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 xml:space="preserve">U01 Student samodzielnie utworzy i wykorzysta formy charakterystyczne dla omawianych treści. 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U02 Student zna słownictwo dotyczące omawianych treści.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U03 Student potrafi posługiwać się podstawowymi sformułowaniami z zakresu języka specjalistycznego.</w:t>
            </w:r>
          </w:p>
          <w:p>
            <w:pPr>
              <w:pStyle w:val="Normal"/>
              <w:widowControl w:val="false"/>
              <w:rPr/>
            </w:pPr>
            <w:r>
              <w:rPr/>
              <w:br/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K1_U07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81"/>
        <w:gridCol w:w="5249"/>
        <w:gridCol w:w="2410"/>
      </w:tblGrid>
      <w:tr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Efekt </w:t>
            </w:r>
            <w:r>
              <w:rPr>
                <w:rFonts w:eastAsia="Arial" w:cs="Arial" w:ascii="Arial" w:hAnsi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cs="Arial"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984" w:hRule="atLeast"/>
          <w:cantSplit w:val="true"/>
        </w:trPr>
        <w:tc>
          <w:tcPr>
            <w:tcW w:w="1981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 xml:space="preserve">K02 Student potrafi funkcjonować w obcej kulturze, uczestniczy w jej życiu codziennym, inicjuje kontakty międzynarodowe. 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sz w:val="20"/>
                <w:szCs w:val="20"/>
                <w:lang w:val="pl-PL"/>
              </w:rPr>
              <w:t>K03 Student umiejętnie uczestniczy w pracach w środowisku międzynarodowym.</w:t>
            </w:r>
          </w:p>
          <w:p>
            <w:pPr>
              <w:pStyle w:val="Normal"/>
              <w:widowControl w:val="false"/>
              <w:rPr/>
            </w:pPr>
            <w:r>
              <w:rPr/>
              <w:br/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826"/>
        <w:gridCol w:w="101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8"/>
        <w:gridCol w:w="846"/>
        <w:gridCol w:w="284"/>
      </w:tblGrid>
      <w:tr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8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Forma zajęć</w:t>
            </w:r>
          </w:p>
        </w:tc>
        <w:tc>
          <w:tcPr>
            <w:tcW w:w="10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Wykład</w:t>
            </w:r>
          </w:p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82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1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0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62" w:hRule="atLeast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9E2F3" w:themeFill="accent1" w:themeFillTint="33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  <w:t>40</w:t>
            </w:r>
          </w:p>
        </w:tc>
        <w:tc>
          <w:tcPr>
            <w:tcW w:w="10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  <w:t>Opis metod prowadzenia zajęć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22"/>
      </w:tblGrid>
      <w:tr>
        <w:trPr>
          <w:trHeight w:val="1920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eastAsia="Arial" w:cs="Arial" w:ascii="Arial" w:hAnsi="Arial"/>
                <w:sz w:val="21"/>
                <w:szCs w:val="21"/>
                <w:lang w:val="pl-PL"/>
              </w:rPr>
              <w:t>Konwersatorium: metoda komunikacyjna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eastAsia="Arial" w:cs="Arial" w:ascii="Arial" w:hAnsi="Arial"/>
                <w:sz w:val="21"/>
                <w:szCs w:val="21"/>
                <w:lang w:val="pl-PL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eastAsia="Arial" w:cs="Arial" w:ascii="Arial" w:hAnsi="Arial"/>
                <w:sz w:val="21"/>
                <w:szCs w:val="21"/>
                <w:lang w:val="pl-PL"/>
              </w:rPr>
              <w:t>Stosowanie tej metody podczas zajęć ma na celu stworzenie różnorodnych sytuacji, w których można znaleźć się w życiu codziennym.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życia codziennego.</w:t>
            </w:r>
          </w:p>
          <w:p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Formy sprawdzania efektów uczenia się:</w:t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9"/>
        <w:gridCol w:w="662"/>
      </w:tblGrid>
      <w:tr>
        <w:trPr>
          <w:trHeight w:val="1616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 – 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BalloonText1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+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+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bidi w:val="0"/>
              <w:spacing w:lineRule="auto" w:line="259" w:beforeAutospacing="0" w:before="0" w:afterAutospacing="0" w:after="0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</w:tbl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spacing w:before="57" w:after="57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color w:val="auto"/>
                <w:sz w:val="20"/>
                <w:szCs w:val="20"/>
                <w:lang w:val="pl-PL"/>
              </w:rPr>
              <w:t>Zaliczenie 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  <w:p>
            <w:pPr>
              <w:pStyle w:val="Normal"/>
              <w:widowControl w:val="false"/>
              <w:spacing w:before="57" w:after="57"/>
              <w:rPr>
                <w:color w:val="auto"/>
              </w:rPr>
            </w:pPr>
            <w:r>
              <w:rPr>
                <w:color w:val="auto"/>
              </w:rPr>
            </w:r>
          </w:p>
          <w:p>
            <w:pPr>
              <w:pStyle w:val="Normal"/>
              <w:widowControl w:val="false"/>
              <w:spacing w:before="57" w:after="57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color w:val="auto"/>
                <w:sz w:val="20"/>
                <w:szCs w:val="20"/>
                <w:lang w:val="pl-PL"/>
              </w:rPr>
              <w:t>Ocena z egzaminu jest równoznaczna z oceną z egzaminu pisemnego.</w:t>
            </w:r>
          </w:p>
        </w:tc>
      </w:tr>
    </w:tbl>
    <w:p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1089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color w:val="auto"/>
                <w:sz w:val="20"/>
                <w:szCs w:val="20"/>
                <w:lang w:val="pl-PL"/>
              </w:rPr>
              <w:t xml:space="preserve">Ocena z egzaminu: </w:t>
            </w:r>
          </w:p>
          <w:p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color w:val="auto"/>
                <w:sz w:val="20"/>
                <w:szCs w:val="20"/>
                <w:lang w:val="pl-PL"/>
              </w:rPr>
              <w:t xml:space="preserve">3.0 – 51-67% </w:t>
            </w:r>
          </w:p>
          <w:p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color w:val="auto"/>
                <w:sz w:val="20"/>
                <w:szCs w:val="20"/>
                <w:lang w:val="pl-PL"/>
              </w:rPr>
              <w:t xml:space="preserve">3.5 – 68 -75% </w:t>
            </w:r>
          </w:p>
          <w:p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color w:val="auto"/>
                <w:sz w:val="20"/>
                <w:szCs w:val="20"/>
                <w:lang w:val="pl-PL"/>
              </w:rPr>
              <w:t xml:space="preserve">4.0 – 76-83% </w:t>
            </w:r>
          </w:p>
          <w:p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color w:val="auto"/>
                <w:sz w:val="20"/>
                <w:szCs w:val="20"/>
                <w:lang w:val="pl-PL"/>
              </w:rPr>
              <w:t xml:space="preserve">4.5 – 84-91% </w:t>
            </w:r>
          </w:p>
          <w:p>
            <w:pPr>
              <w:pStyle w:val="Normal"/>
              <w:widowControl w:val="false"/>
              <w:spacing w:before="57" w:after="57"/>
              <w:jc w:val="both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color w:val="auto"/>
                <w:sz w:val="20"/>
                <w:szCs w:val="20"/>
                <w:lang w:val="pl-PL"/>
              </w:rPr>
              <w:t>5.0 – 93-100%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Treści merytoryczne (wykaz tematów)</w:t>
      </w:r>
    </w:p>
    <w:p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22"/>
      </w:tblGrid>
      <w:tr>
        <w:trPr>
          <w:trHeight w:val="1136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A place to live – czasowniki modalne; wyrażenia: so, such, too, enough, very; relative clauses;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Konstrukcje gramatyczne There is/ It is: różnice w użyciu.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Ćwiczenia związane z tematyką podróży i opisywaniem miejsc. Kolokacje i czasowniki frazowe związane z podróżowaniem.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Moving on – mowa zależna z użyciem czasowników: say, speak, tell, talk. Mowa zależna: zdania, pytania, przeczenia, tryb rozkazujący.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Kolokacje i czasowniki frazowe związane z tematyką pracy.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 xml:space="preserve">Linking words </w:t>
            </w:r>
          </w:p>
          <w:p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Analiza zagadnienia rzeczownika w języku angielskim (concrete and abstract nouns).</w:t>
            </w:r>
          </w:p>
          <w:p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Lucky break – tryby warunkowe (0,1,2,3, mieszane) oraz inne konstrukcje związane z trybami warunkowymi (due to, about to, bound to, Should you, Suppose, Imagine)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Użycie wyrażeń chance, possibilty, opportunity.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Rozszerzenie zasad związanych ze słowotwórstwem.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Słownictwo związane z tematyką sukcesu i porażki.</w:t>
            </w:r>
          </w:p>
          <w:p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Omówienie i ćwiczenie typów zadań egzaminacyjnych z części słuchania.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Projekt indywidualny.</w:t>
            </w:r>
          </w:p>
          <w:p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Elementy języka biznesowego.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  <w:r>
        <w:br w:type="page"/>
      </w:r>
    </w:p>
    <w:p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Słowniczek (5-15 pojęć w języku angielskim)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22"/>
      </w:tblGrid>
      <w:tr>
        <w:trPr>
          <w:trHeight w:val="1136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Relative clauses, there is/it is; modal verbs; reported speech; conditional forms; phrasal verbs; collocations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Wykaz literatury podstawowej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22"/>
      </w:tblGrid>
      <w:tr>
        <w:trPr>
          <w:trHeight w:val="1098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>Bell, J., Thomas, A., Gold B2 First New Edition Coursebook, Pearson, 2018.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>Eales F., Oakes S., Speakout Upper-Intermediate, Pearson, 2011.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>Skipper, M., Advanced Grammar and Vocabulary, Express Publishing, 2002.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>Materiały autorskie.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>Źródła internetowe,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Wykaz literatury uzupełniającej</w:t>
      </w:r>
    </w:p>
    <w:p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22"/>
      </w:tblGrid>
      <w:tr>
        <w:trPr>
          <w:trHeight w:val="1112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 xml:space="preserve">1. Murphy R., English Grammar in Use, CUP, Cambridge 1998. 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 xml:space="preserve">2. Thomson A.J., Martinet A.V., A Practical English Grammar: Exercises 1 &amp; 2, OUP, Oxford 1986. 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 xml:space="preserve">3. Watcyn-Jones P., Test Your Vocabulary Books 1-5, Pearson Education Ltd, różne wydania. 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 xml:space="preserve">4. Hornby A. S., Oxford Advanced Learner’s Dictionary, OUP, różne wydania i inne słowniki. 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>5. Vince, M., Language Practice for First, Macmillan Education, 2014.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Arial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Shade="ff" w:themeTint="ff"/>
                <w:sz w:val="20"/>
                <w:szCs w:val="20"/>
                <w:lang w:val="en-US"/>
              </w:rPr>
              <w:t>6. Hall, D. My Grammar Lab Intermediate, Pearson Longman, 2012.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BalloonText1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BalloonText1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Bilans godzinowy zgodny z CNPS (Całkowity Nakład Pracy Studenta)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66"/>
        <w:gridCol w:w="5746"/>
        <w:gridCol w:w="1070"/>
      </w:tblGrid>
      <w:tr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color w:val="auto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color w:val="auto"/>
                <w:sz w:val="20"/>
                <w:szCs w:val="20"/>
                <w:lang w:eastAsia="en-US"/>
              </w:rPr>
              <w:t>40</w:t>
            </w:r>
          </w:p>
        </w:tc>
      </w:tr>
      <w:tr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color w:val="auto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color w:val="auto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color w:val="auto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365" w:hRule="atLeast"/>
        </w:trPr>
        <w:tc>
          <w:tcPr>
            <w:tcW w:w="851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100</w:t>
            </w:r>
          </w:p>
        </w:tc>
      </w:tr>
      <w:tr>
        <w:trPr>
          <w:trHeight w:val="392" w:hRule="atLeast"/>
        </w:trPr>
        <w:tc>
          <w:tcPr>
            <w:tcW w:w="851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Liczba punktów ECTS w zależności od przyjętego przelicznika</w:t>
            </w:r>
            <w:bookmarkStart w:id="0" w:name="_GoBack"/>
            <w:bookmarkEnd w:id="0"/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Autospacing="0" w:before="0" w:afterAutospacing="0" w:after="0"/>
              <w:ind w:left="360" w:right="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4</w:t>
            </w:r>
          </w:p>
        </w:tc>
      </w:tr>
    </w:tbl>
    <w:p>
      <w:pPr>
        <w:pStyle w:val="BalloonText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454" w:top="1276" w:footer="709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8"/>
  <w:defaultTabStop w:val="708"/>
  <w:autoHyphenation w:val="true"/>
  <w:doNotHyphenateCaps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CommentSubjectChar" w:customStyle="1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semiHidden/>
    <w:pPr>
      <w:spacing w:before="0" w:after="120"/>
    </w:pPr>
    <w:rPr/>
  </w:style>
  <w:style w:type="paragraph" w:styleId="List">
    <w:name w:val="List"/>
    <w:basedOn w:val="TextBody"/>
    <w:semiHidden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TextBody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semiHidden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Body"/>
    <w:qFormat/>
    <w:pPr/>
    <w:rPr/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BalloonText1" w:customStyle="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semiHidden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CommentSubjectChar"/>
    <w:uiPriority w:val="99"/>
    <w:semiHidden/>
    <w:unhideWhenUsed/>
    <w:qFormat/>
    <w:rsid w:val="009026ff"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4A7B3-B154-4D17-814E-FAAD8891BD39}"/>
</file>

<file path=customXml/itemProps2.xml><?xml version="1.0" encoding="utf-8"?>
<ds:datastoreItem xmlns:ds="http://schemas.openxmlformats.org/officeDocument/2006/customXml" ds:itemID="{308FCDEE-9719-4292-9BEB-4FB6F11AD515}"/>
</file>

<file path=customXml/itemProps3.xml><?xml version="1.0" encoding="utf-8"?>
<ds:datastoreItem xmlns:ds="http://schemas.openxmlformats.org/officeDocument/2006/customXml" ds:itemID="{23862B06-79F1-4D0C-8835-E5646D101E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LibreOffice/7.4.5.1$Windows_X86_64 LibreOffice_project/9c0871452b3918c1019dde9bfac75448afc4b57f</Application>
  <AppVersion>15.0000</AppVersion>
  <Pages>5</Pages>
  <Words>860</Words>
  <Characters>5619</Characters>
  <CharactersWithSpaces>6354</CharactersWithSpaces>
  <Paragraphs>151</Paragraphs>
  <Company>Akademia Pedagogiczna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/>
  <cp:revision>17</cp:revision>
  <cp:lastPrinted>2012-01-27T16:28:00Z</cp:lastPrinted>
  <dcterms:created xsi:type="dcterms:W3CDTF">2020-01-29T09:15:00Z</dcterms:created>
  <dcterms:modified xsi:type="dcterms:W3CDTF">2024-09-30T20:03:43Z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</Properties>
</file>